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Педиатрия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08:36 МСК · База обновлена: 19.07.2026, 20:26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приеме участкового педиатра мальчик 6 лет с мамой.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зуд, высыпания на коже рук, ног, тела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Впервые высыпания на коже лица появились в возрасте 6 месяцев, когда в рацион ввели овсяную кашу. Ребенок был проконсультирован аллергологом-иммунологом, была скорректирована диета, рекомендованы эмоленты и назначена местная противовоспалительная терапия.  Мама рекомендации врача выполняла не полностью, использовала только увлажняющие средства и соблюдала диетические рекомендации. Высыпания прошли за несколько месяцев, на их месте остались очаги депигментации. Год назад вновь появились гиперемированные пятна с шелушением , которые локализовались изначально только в локтевых сгибах, затем распространились по всему телу. Беспокоит выраженный зуд. За этот период было 4 обострения, в терапии вновь использовали увлажняющие и антигистаминные средства с умеренным эффектом.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родился от 2 нормально протекавшей беременности, срочных родов, вес 3600 г, рост 51 см, по Апгар 8/9 б</w:t>
        <w:br/>
        <w:t>*</w:t>
        <w:tab/>
        <w:t>находился на естественном вскармливании до 12 месяцев, прикорм введен  c 5 месяцев, отмечались высыпания на коже после введения овсяной каши, остальные продукты переносил без реакций</w:t>
        <w:br/>
        <w:t>*</w:t>
        <w:tab/>
        <w:t>перенесенные заболевания: ОРВИ 4-5 раз в год с 3 лет</w:t>
        <w:br/>
        <w:t>*</w:t>
        <w:tab/>
        <w:t>вакцинирован согласно Национальному календарю профилактических  прививок;</w:t>
        <w:br/>
        <w:t>*</w:t>
        <w:tab/>
        <w:t>наследственность отягощена: у матери поллиноз, у отца бронхиальная астма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ближе к удовлетворительному, самочувствие умеренно страдает, мальчик периодически чешет локтевые сгибы и шею, не лихорадит. Аппетит и ночной сон сохранен. Кожные покровы сухие, гиперемированные пятна с шелушением и экскориациями по всему телу, в локтевых сгибах лихеноидные папулы, подчеркнутый кожный рисунок на ладонях; видимые слизистые оболочки чистые, периферические лимфоузлы не пальпируются, в легких дыхание везикулярное, хрипов нет, сердечные тоны ясные, ритмичные, живот мягкий, безболезненный, печень и селезенка не увеличены, стул регулярный, оформленный, диурез в норме. Масса 18 кг, рост 125 см.</w:t>
      </w:r>
    </w:p>
    <w:p>
      <w:r>
        <w:drawing>
          <wp:inline xmlns:a="http://schemas.openxmlformats.org/drawingml/2006/main" xmlns:pic="http://schemas.openxmlformats.org/drawingml/2006/picture">
            <wp:extent cx="5303520" cy="5785658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592af65f7950d82a33605347341c56dadc40840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7856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статус.png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выявления причинно-значимого фактора заболевания и постановки диагноза целесообразно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люминесцентную диагностику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аллергенспецифических IgE-антител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клинический анализ крови; 6 — определение аллергенспецифических IgE-антител в сыворотке крови</w:t>
      </w:r>
    </w:p>
    <w:p>
      <w:pPr>
        <w:ind w:left="504"/>
      </w:pPr>
      <w:r>
        <w:rPr>
          <w:b w:val="0"/>
          <w:i/>
        </w:rPr>
        <w:t>Рекомендуется всем пациентам общий анализ крови развернутый для диагностики заболеваний и состояний, являющихся противопоказаниями к проведению системной терапии атопического дерматита и для контроля безопасности проводимой системной терапии циклоспорином.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3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Рекомендуется проведение аллергологического обследования пациентам с атопическим дерматитом с семейным и/или личным анамнезом аллергических заболеваний – пищевой аллергии, аллергического ринита, бронхиальной астмы, а также с указанием на обострение заболевания при контакте с аллергенами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Диагностика данного заболевания основывается преимущественно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анамнестических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данных инструментального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клинических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лабораторных данных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клинических данных</w:t>
      </w:r>
    </w:p>
    <w:p>
      <w:pPr>
        <w:ind w:left="504"/>
      </w:pPr>
      <w:r>
        <w:rPr>
          <w:b w:val="0"/>
          <w:i/>
        </w:rPr>
        <w:t>Диагностика атопического дерматита основывается преимущественно на клинических данных. Жалобы на зуд, сухость, шелушение и покраснение кожи, сыпь, отягощенный аллергологический анамнез, анамнез заболевания и результаты объективного осмотра, а также результаты проведенного обследования подтверждают диагноз.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Диагноз может быть сформулирован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Хроническая крапивница, тяжелое течение, стадия обострения, бытовая сенсибилизация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Микробная экзема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детская форма,  среднетяжелое течение, стадия обострения, бытовая сенсибилизация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Аллергический контактный дерматит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Атопический дерматит, детская форма,  среднетяжелое течение, стадия обострения, бытовая сенсибилизация</w:t>
      </w:r>
    </w:p>
    <w:p>
      <w:pPr>
        <w:ind w:left="504"/>
      </w:pPr>
      <w:r>
        <w:rPr>
          <w:b w:val="0"/>
          <w:i/>
        </w:rPr>
        <w:t>Диагностика атопического дерматита основывается преимущественно на клинических данных. Объективных диагностических тестов, позволчяющих подтвердить диагноз, в настоящее время не существует.  В данном случае жалобы на зуд, сухость, шелушение и покраснение кожи, сыпь, отягощенный аллергологический анамнез, анамнез заболевания и результаты объективного осмотра, а также результаты проведенного обследования подтверждают диагноз.</w:t>
        <w:br/>
        <w:br/>
        <w:t>При среднетяжелом течении отмечается распространенный характер поражения. Частота обострений 3-4 раза в год с увеличением их продолжительности.</w:t>
        <w:br/>
        <w:br/>
        <w:t>При распространенном АтД площадь поражения составляет от 10 до 50%;</w:t>
        <w:br/>
        <w:br/>
        <w:t>По стадиям течения АтД выделяют: обострение, неполную ремиссию и ремиссию.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 данного пациента  +______________+ клинико-морфологическая форма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лихеноидная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эритематозно-сквамозная с лихенизацией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пруригиозная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экссудативная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эритематозно-сквамозная с лихенизацией</w:t>
      </w:r>
    </w:p>
    <w:p>
      <w:pPr>
        <w:ind w:left="504"/>
      </w:pPr>
      <w:r>
        <w:rPr>
          <w:b w:val="0"/>
          <w:i/>
        </w:rPr>
        <w:t>У представленного ребенка кожные покровы сухие, гиперемированные пятна с шелушением и экскориациями по всему телу, в локтевых сгибах лихеноидные папулы, подчеркнутый кожный рисунок на ладонях.</w:t>
        <w:br/>
        <w:br/>
        <w:t>Детский период атопического дерматита характеризуется высыпаниями, которые носят менее экссудативный характер, чем в младенческом периоде, и представлены воспалительными милиарными и/или лентикулярными папулами, папуло-везикулами и эритематозно-сквамозными элементами, локализующимися на коже верхних и нижних конечностей, в области запястий, предплечий, локтевых и подколенных сгибов, голеностопных суставов и стоп.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Дифференциальную диагностику следует проводить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внезапной экзантемой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геморрагическим васкулитом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чесоткой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узловатой эритемой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чесоткой</w:t>
      </w:r>
    </w:p>
    <w:p>
      <w:pPr>
        <w:ind w:left="504"/>
      </w:pPr>
      <w:r>
        <w:rPr>
          <w:b w:val="0"/>
          <w:i/>
        </w:rPr>
        <w:t>Дифференциальный диагноз атопического дерматита проводят с Т-клеточной лимфомой кожи, хронической экземой, аллергическим и ирритантным контактным дерматитом, себорейным дерматитом, нуммулярной экземой, чесоткой, псориазом, ихтиозом, питириазом красным волосяным отрубевидным, дерматофитией, иммунодефицитными состояниями (Х-сцепленный синдром Вискотта-Олдрича, синдром гипериммуноглобулинемии Е) и др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Средствами первой линии терапии у данного пациента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антибиотики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противовирусные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местные глюкокортикостероиды</w:t>
      </w:r>
    </w:p>
    <w:p>
      <w:pPr>
        <w:ind w:left="504"/>
      </w:pPr>
      <w:r>
        <w:rPr>
          <w:b w:val="0"/>
          <w:i/>
        </w:rPr>
        <w:t>Местные глюкокортикостероиды (МГК) рекомендуются как средства первой линии для лечения обострений атопического дерматита, а также препараты стартовой терапии при легкой, среднетяжелой и тяжелой формах заболевания.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применении влажных повязок с топическими глюкокортикоидами средней и высокой силы действия существует риск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вторичного инфицирования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привыкания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угнетения функции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ожога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угнетения функции надпочечников</w:t>
      </w:r>
    </w:p>
    <w:p>
      <w:pPr>
        <w:ind w:left="504"/>
      </w:pPr>
      <w:r>
        <w:rPr>
          <w:b w:val="0"/>
          <w:i/>
        </w:rPr>
        <w:t>Следует соблюдать осторожность при использовании глюкокортикоидов, применяемых в дерматологии, средней и высокой силы действия с применением влажных повязок в связи с риском угнетения функции надпочечников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Антигистаминные препараты 2 поколения рекомендуют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устранения кожного зуда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седативного эффекта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профилактики обострения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купирования кожных высыпаний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устранения кожного зуда</w:t>
      </w:r>
    </w:p>
    <w:p>
      <w:pPr>
        <w:ind w:left="504"/>
      </w:pPr>
      <w:r>
        <w:rPr>
          <w:b w:val="0"/>
          <w:i/>
        </w:rPr>
        <w:t>Антигистаминные препараты 2 поколения назначают для уменьшения кожного зуда.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Диета с исключением аллергенных продуктов при лечении данного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рекомендована, так как выявлена сенсибилизация к пищевым аллергенам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заключается в исключении продуктов, содержащих белок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заключается в исключении косточковых фруктов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рекомендована, так как не доказана связь обострения заболевания с пищевой аллергией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 рекомендована, так как не доказана связь обострения заболевания с пищевой аллергией</w:t>
      </w:r>
    </w:p>
    <w:p>
      <w:pPr>
        <w:ind w:left="504"/>
      </w:pPr>
      <w:r>
        <w:rPr>
          <w:b w:val="0"/>
          <w:i/>
        </w:rPr>
        <w:t>Диета с исключением аллергенных продуктов не рекомендована, так как не доказана связь обострения заболевания с пищевой аллергией.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Рекомендуется элиминация или удаление причинно-значимых аллергенов. При установленной сенсибилизации к бытовым, эпидермальным, грибковым аллергенам рекомендованы элиминационные мероприятия с целью уменьшения выраженности симптомов атопического дерматита, снижения фармакологической нагрузки и профилактики обострении.</w:t>
        <w:br/>
        <w:br/>
      </w:r>
      <w:hyperlink r:id="rId36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для госпитализации в данном случае будет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отягощенный наследственный анамнез по атопии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больного меньше 5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сопутствующая гастроэнтерологическая патология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присоединение вторичной инфекции, не купируемое в амбулаторных условиях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присоединение вторичной инфекции, не купируемое в амбулаторных условиях</w:t>
      </w:r>
    </w:p>
    <w:p>
      <w:pPr>
        <w:ind w:left="504"/>
      </w:pPr>
      <w:r>
        <w:rPr>
          <w:b w:val="0"/>
          <w:i/>
        </w:rPr>
        <w:t>Показания для оказания медицинской помощи в стационарных условиях:</w:t>
        <w:br/>
        <w:br/>
        <w:t>* отсутствие эффекта от проводимого лечения в амбулаторных условиях; +</w:t>
        <w:br/>
        <w:t>* тяжелое течение атопического дерматита, требующее системной терапии или фототерапии; +</w:t>
        <w:br/>
        <w:t>* присоединение вторичной инфекции, не купируемое в амбулаторных условиях; +</w:t>
        <w:br/>
        <w:t>* развитие вирусной инфекции (герпетической экземы Капоши).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После уменьшения симптомов тяжелого обострения одним из препаратов выбора у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цинковая паста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клотримазол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фузидиевая кислота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пимекролимус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пимекролимус</w:t>
      </w:r>
    </w:p>
    <w:p>
      <w:pPr>
        <w:ind w:left="504"/>
      </w:pPr>
      <w:r>
        <w:rPr>
          <w:b w:val="0"/>
          <w:i/>
        </w:rPr>
        <w:t>Пимекролимус крем для наружного применения показан как для кратковременного, так и длительного лечения атопического дерматиталегкой и средней степени тяжести у взрослых, подростков и детей (от 3-х месяцев). Возможно длительное применение по интермиттирующей схеме (1 раз в неделю или реже). Противопоказанием к назначению пимекролимуса является детский возраст до 3 месяцев.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стадию ремиссии данному пациенту необходимы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пробиотики, сорбенты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элиминационные мероприятия, уход за кожей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противовоспалительные препараты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 препараты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элиминационные мероприятия, уход за кожей</w:t>
      </w:r>
    </w:p>
    <w:p>
      <w:pPr>
        <w:ind w:left="504"/>
      </w:pPr>
      <w:r>
        <w:rPr>
          <w:b w:val="0"/>
          <w:i/>
        </w:rPr>
        <w:t>Рекомендуется всем пациентам с атопическим дерматитом независимо от степени тяжести: увлажняющие и смягчающие средства (эмоленты) наружно. При выявленной сенсибилизации рекомендовано элиминировать триггерный фактор.</w:t>
        <w:br/>
        <w:br/>
      </w:r>
      <w:hyperlink r:id="rId22">
        <w:r>
          <w:rPr>
            <w:color w:val="173C49"/>
            <w:u w:val="single"/>
          </w:rPr>
          <w:t>Клинические рекомендации Минздрава России. Атопический дерматит, 2024 г.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(2)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с 3-хлетним сыном на приеме у участкового педиатра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Неустойчивый стул с неприятным запахом, выраженное вздутие живота, низкая прибавка в весе, отставание в нервно-психическом развитии, в течение последнего года. После употребления каши и хлеба мама замечает нарушение стула и увеличение размеров живота.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Ребенок болен около 1 года, когда впервые мама обратила внимание на разжижение стула, выраженный метеоризм и  увеличение размеров живота после употребления овсяной и пшеничных каш, хлебобулочных изделий. На профилактических осмотрах педиатр обратил внимание на низкую прибавку массы тела и снижение темпов роста у ребенка. Была рекомендована консультация эндокринолога и гастроэнтеролога, однако мать не посетила с ребенком данных специалистов.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1-й беременности, протекавшей на фоне угрозы прерывания в 1-м триместре. Роды 1, самостоятельные, срочные. Масса 3470 гр., длина 53 см. К груди приложили в родильном зале. Неонатальный скрининг пройден, аудиоскрининг пройден. Период новорожденности протекал без особенностей.</w:t>
        <w:br/>
        <w:t>* На грудном вскармливании до 3 месяцев, далее искусственное вскармливание, прикормы введены с 5 мес., вначале овощное пюре (брокколи), затем гречневая каша.</w:t>
        <w:br/>
        <w:t>*</w:t>
        <w:tab/>
        <w:t>Вакцинация выполнена в соответствии с Национальным календарем прививок.</w:t>
        <w:br/>
        <w:t>*</w:t>
        <w:tab/>
        <w:t>Аллергологический анамнез отягощен медикаментозной аллергией: на амоксициллин крапивница.</w:t>
        <w:br/>
        <w:t>*</w:t>
        <w:tab/>
        <w:t>Перенесенные заболевания: ОРВИ до 4-5 р/год, ветряная оспа в 2 года. Травм и операций  не было, гемотрансфузии не проводились.</w:t>
        <w:br/>
        <w:t>*</w:t>
        <w:tab/>
        <w:t>Семейный анамнез отягощен патологией ЖКТ по линии отца ребенка: отец - хронический гастродуоденит, дедушка по линии отца язвенная болезнь ДПК.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средней тяжести.</w:t>
        <w:br/>
        <w:t>* Вес 11,000 г (&lt; -2 SDS)</w:t>
        <w:br/>
        <w:t>* Длина тела 88 см (&lt;-2SDS)</w:t>
        <w:br/>
        <w:t>*</w:t>
        <w:tab/>
        <w:t>Мальчик пониженного питания. Кожные покровы бледно-розовые, чистые, умеренной влажности. Видимые слизистые оболочки физиологической окраски, чистые. Небные дужки и задняя стенка глотки не гиперемированы. Подкожная клетчатка развита недостаточно, распределена равномерно.</w:t>
        <w:br/>
        <w:t>*</w:t>
        <w:tab/>
        <w:t>Периферические лимфатические узлы не пальпируются. Костная система: выраженных деформаций нет. У ребенка отмечается диффузная, мышечная дистония. Движения в суставах в полном объеме, островоспалительные изменения отсутствуют.</w:t>
        <w:br/>
        <w:t>*</w:t>
        <w:tab/>
        <w:t>Носовое дыхание свободное. В легких дыхание пуэрильное, проводится во все отделы, хрипов нет. ЧДД 26/мин.</w:t>
        <w:br/>
        <w:t>*</w:t>
        <w:tab/>
        <w:t>Область сердца визуально не изменена. Тоны сердца ясные, звучные, ритмичные, шумов нет. ЧСС 104/мин.</w:t>
        <w:br/>
        <w:t>*</w:t>
        <w:tab/>
        <w:t>Аппетит сохранен. Живот округлой формы, увеличен в объеме за счет выраженной аэроколии. При пальпации живот мягкий, доступен пальпации во всех отделах. Печень +1,5 см из-под края реберной дуги, селезенка не пальпируется.</w:t>
        <w:br/>
        <w:t>*</w:t>
        <w:tab/>
        <w:t>Со слов мамы, сегодня был однократно обильный зловонный стул, оформленный, без патологических примесей.</w:t>
        <w:br/>
        <w:t>*</w:t>
        <w:tab/>
        <w:t>Мочеиспускание у ребенка свободное, безболезненное. Дизурических явлений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Для постановки диагноза необходимыми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антител к эндомизию,  IgA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общий Ig 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копрограмма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антител к тканевой трансглутаминазе IgA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определение антител к эндомизию,  IgA; 6 — определение антител к тканевой трансглутаминазе IgA</w:t>
      </w:r>
    </w:p>
    <w:p>
      <w:pPr>
        <w:ind w:left="504"/>
      </w:pPr>
      <w:r>
        <w:rPr>
          <w:b w:val="0"/>
          <w:i/>
        </w:rPr>
        <w:t>Рекомендуется определение уровня специфических антител класса IgG (anti-tTG, EMA, anti- DPG) у пациентов с подтвержденным низким уровнем общего IgA.</w:t>
        <w:br/>
        <w:br/>
        <w:t>Антитела к эндомизию (EMA) в качестве своего субстрата также имеют тканевую трансглутаминазу, расположенную в межклеточном веществе, окружающем гладкомышечные элементы собственной пластинки слизистой оболочки тонкой кишки. EMA определяются методом непрямой иммунофлуоресценции с использованием в качестве субстрата тканей пищевода обезьян или пуповины человека. Метод полуколичественный, имеет высокую чувствительность и специфичность, однако требует специального оборудования, а оценка результатов исследования является субъективной и зависит от квалификации специалистов.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определение уровня специфических антител класса IgG (anti-tTG, EMA, anti- DPG) у пациентов с подтвержденным низким уровнем общего IgA.</w:t>
        <w:br/>
        <w:br/>
        <w:t>Антитела к тканевой трансглутаминазе (anti-tTG) определяют иммуноферментными методом. Метод характеризуется высокой чувствительностью (98%).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эзофагофиброгастродуоденоскопия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обзорный рентгеновский снимок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ректороманоскопия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эзофагофиброгастродуоденоскопия с биопсией</w:t>
      </w:r>
    </w:p>
    <w:p>
      <w:pPr>
        <w:ind w:left="504"/>
      </w:pPr>
      <w:r>
        <w:rPr>
          <w:b w:val="0"/>
          <w:i/>
        </w:rPr>
        <w:t>Рекомендуется: выполнение эндоскопического исследования с забором биоптатов слизистой тонкой кишки пациентам с сильным подозрением на целиакию и/или повышением концентрации специфических антител в сыворотке для гистологической верификации диагноза целиакии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клинической картины заболевания и результатов проведенных обследований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Целиакия симптомная, период манифестации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Болезнь Крона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Гастроинтестинальная форма пищевой аллергии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Муковисцидоз, кишечная форма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Целиакия симптомная, период манифестации</w:t>
      </w:r>
    </w:p>
    <w:p>
      <w:pPr>
        <w:ind w:left="504"/>
      </w:pPr>
      <w:r>
        <w:rPr>
          <w:b w:val="0"/>
          <w:i/>
        </w:rPr>
        <w:t>В клинической картине целиакии, в настоящее время целесообразнее выделять симптомные (с гастроэнтерологическими симптомами и/или внекишечными проявлениями) и бессимптомные формы заболевания. У пациентов с бессимптомной (скрытой) формой целиакии отсутствуют какие-либо проявления заболевания. Диагноз в этом случае устанавливается в ходе скрининговых исследований или при обследовании родственников/пациентов из групп риска.</w:t>
        <w:br/>
        <w:br/>
        <w:t>Выделяют периоды заболевания: латентный, клинической манифестации (активный), ремиссии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Пациентам с неуточненным диагнозом (в сыворотке отсутствует повышенный уровень специфических антител, при этом выявлены характерные для целиакии морфологические изменения) рекомендуется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элиминационную диету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иммунологическое обследование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генетическое исследование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генетическое исследование</w:t>
      </w:r>
    </w:p>
    <w:p>
      <w:pPr>
        <w:ind w:left="504"/>
      </w:pPr>
      <w:r>
        <w:rPr>
          <w:b w:val="0"/>
          <w:i/>
        </w:rPr>
        <w:t>Рекомендуется выполнение генетического исследования пациентам с неуточненным диагнозом (в т.ч. при выявлении характерных для целиакии морфологических изменений при отсутствии повышенного уровня специфических антител в сыворотке). Отсутствие генов HLA-DQ2/DQ8 у данных пациентов свидетельствует об отсутствии у ребенка целиакии (в т.ч. серонегативной) и определяет необходимость продолжения диагностического поиск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Основой лечения ребенка  с данной патологией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строгая пожизненная безлактозная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пожизненный прием полиферментных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своевременная коррекция микробиоты кишечника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строгая пожизненная безглютеновая диета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строгая пожизненная безглютеновая диета</w:t>
      </w:r>
    </w:p>
    <w:p>
      <w:pPr>
        <w:ind w:left="504"/>
      </w:pPr>
      <w:r>
        <w:rPr>
          <w:b w:val="0"/>
          <w:i/>
        </w:rPr>
        <w:t>Единственным методом лечения целиакии и профилактики ее осложнений в настоящее время является строгая пожизненная безглютеновая диета.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данном этапе тактика ведения данного больного предполагает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проведение диагностических мероприятий в 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госпитализацию в гастроэнтерологическое отделение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наблюдение за пациентом в 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госпитализацию в инфекционное отделение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госпитализацию в гастроэнтерологическое отделение</w:t>
      </w:r>
    </w:p>
    <w:p>
      <w:pPr>
        <w:ind w:left="504"/>
      </w:pPr>
      <w:r>
        <w:rPr>
          <w:b w:val="0"/>
          <w:i/>
        </w:rPr>
        <w:t>Рекомендуется: госпитализировать в стационар детей с выраженными проявлениями синдрома мальабсорбции (тяжелая нутритивная недостаточность, нарушения водно-электролитного обмена) для проведения полной диагностической программы, коррекции метаболических нарушений, проведения энтерального/парентерального питания, подбора индивидуального варианта безглютеновой диеты, реабилитационных мероприятий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Какие препараты могут быть назначены пациенту с целиакией на фоне выраженной диареи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мукоцитопротекторы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прокинетики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ферменты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сорбенты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мукоцитопротекторы</w:t>
      </w:r>
    </w:p>
    <w:p>
      <w:pPr>
        <w:ind w:left="504"/>
      </w:pPr>
      <w:r>
        <w:rPr>
          <w:b w:val="0"/>
          <w:i/>
        </w:rPr>
        <w:t>Медикаментозная терапия при целиакии носит вспомогательный характер, но в ряде случаев может быть жизненно необходимой. В основном она направлена на коррекцию дефицитных состояний, метаболических нарушений, развившихся на фоне синдрома мальабсорбции</w:t>
        <w:br/>
        <w:br/>
        <w:t>Рекомендуется использование мукоцитопротекторов – адсорбентов на фоне выраженной диареи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рационе питания данного ребенка рекомендовано использовать каши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рисовую, манную, кукурузную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ячневую, овсяную, манную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кукурузную, гречневую, рисовую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манную, овсяную, пшеничную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кукурузную, гречневую, рисовую</w:t>
      </w:r>
    </w:p>
    <w:p>
      <w:pPr>
        <w:ind w:left="504"/>
      </w:pPr>
      <w:r>
        <w:rPr>
          <w:b w:val="0"/>
          <w:i/>
        </w:rPr>
        <w:t>Нетоксичными злаками при целиакии являются рис, гречиха, кукуруза, пшено, амарант, киноа, монтина, чумиза, саго, сорго, тэфф. Не содержат глютена.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Рекомендованные приемлемые уровни глютена в хлебобулочных, макаронных и кондитерских изделиях должны составлять +__________+ мг/кг  готового продукта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&lt;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&lt;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&lt; 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&lt;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&lt; 20</w:t>
      </w:r>
    </w:p>
    <w:p>
      <w:pPr>
        <w:ind w:left="504"/>
      </w:pPr>
      <w:r>
        <w:rPr>
          <w:b w:val="0"/>
          <w:i/>
        </w:rPr>
        <w:t>Для питания больных с целиакией рекомендуются специализированные безглютеновые продукты-заменители хлебобулочных, макаронных и кондитерских изделий. Рекомендованные приемлемые уровни глютена составляют &lt;20 ppm* (20 мг/кг готового продукта)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несоблюдении элиминационной диеты при морфологическом исследовании  биоптатов слизистой оболочки тонкой кишки выявляют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эозинофильную инфильтрацию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единичные гранулемы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атрофию ворсин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нейтрофильную инфильтрацию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атрофию ворсин</w:t>
      </w:r>
    </w:p>
    <w:p>
      <w:pPr>
        <w:ind w:left="504"/>
      </w:pPr>
      <w:r>
        <w:rPr>
          <w:b w:val="0"/>
          <w:i/>
        </w:rPr>
        <w:t>Комплекс морфологических изменений слизистой тонкой кишки, свойственных целиакии, включает: увеличение количества межэпителиальных лимфоцитов (МЭЛ), различную степень атрофии ворсинок и гиперплазию крипт.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Проведение вакцинопрофилактики у ребенка в данном клиническом случае  возможно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по эпидемиологическим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период ремиссии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 зависимости от периода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назначении антигистаминных препаратов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период ремиссии заболевания</w:t>
      </w:r>
    </w:p>
    <w:p>
      <w:pPr>
        <w:ind w:left="504"/>
      </w:pPr>
      <w:r>
        <w:rPr>
          <w:b w:val="0"/>
          <w:i/>
        </w:rPr>
        <w:t>Рекомендовано проведение профилактических прививок  в период ремиссии.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течении первых двух лет после установки диагноза кратность проведения диспансерных осмотров составляет _____  раз/раза в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Рекомендуется следующая кратность проведения диспансерных осмотров ребенка с установленным диагнозом целиакии: после установки диагноза в течение первых двух лет – 1 раз в 6 месяцев</w:t>
        <w:br/>
        <w:br/>
      </w:r>
      <w:hyperlink r:id="rId41">
        <w:r>
          <w:rPr>
            <w:color w:val="173C49"/>
            <w:u w:val="single"/>
          </w:rPr>
          <w:t>Клинические рекомендации. Союз педиатров России. Целиакия, 2021</w:t>
        </w:r>
      </w:hyperlink>
      <w:r>
        <w:rPr>
          <w:b w:val="0"/>
          <w:i/>
        </w:rPr>
        <w:t xml:space="preserve"> </w:t>
      </w:r>
      <w:hyperlink r:id="rId55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Педиатрия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KP265_24/" TargetMode="External"/><Relationship Id="rId23" Type="http://schemas.openxmlformats.org/officeDocument/2006/relationships/hyperlink" Target="https://library.mededtech.ru/rest/documents/KP265_24/#list_item_nis96f" TargetMode="External"/><Relationship Id="rId24" Type="http://schemas.openxmlformats.org/officeDocument/2006/relationships/hyperlink" Target="https://library.mededtech.ru/rest/documents/KP265_24/#list_item_rdg377" TargetMode="External"/><Relationship Id="rId25" Type="http://schemas.openxmlformats.org/officeDocument/2006/relationships/hyperlink" Target="https://library.mededtech.ru/rest/documents/KP265_24/#2_&#1044;&#1080;&#1072;&#1075;&#1085;&#1086;&#1089;&#1090;&#1080;&#1082;&#1072;_&#1079;&#1072;&#1073;&#1086;&#1083;&#1077;&#1074;&#1072;&#1085;&#1080;&#1103;_&#1080;&#1083;&#1080;_&#1089;&#1086;&#1089;&#1090;&#1086;&#1103;&#1085;&#1080;&#1103;_&#1075;&#1088;&#1091;&#1087;&#1087;&#1099;_&#1079;&#1072;&#1073;&#1086;&#1083;&#1077;&#1074;&#1072;&#1085;&#1080;&#1081;_&#1080;&#1083;&#1080;_&#1089;&#1086;&#1089;&#1090;&#1086;&#1103;&#1085;&#1080;&#1081;_&#1084;&#1077;&#1076;&#1080;&#1094;&#1080;&#1085;&#1089;&#1082;&#1080;&#1077;_&#1087;&#1086;&#1082;&#1072;&#1079;&#1072;&#1085;&#1080;&#1103;_&#1080;_&#1087;&#1088;&#1086;&#1090;&#1080;&#1074;&#1086;&#1087;&#1086;&#1082;&#1072;&#1079;&#1072;&#1085;&#1080;&#1103;_&#1082;_&#1087;&#1088;&#1080;&#1084;&#1077;&#1085;&#1077;&#1085;&#1080;&#1102;_&#1084;&#1077;&#1090;&#1086;&#1076;&#1086;&#1074;_&#1076;&#1080;&#1072;&#1075;&#1085;&#1086;&#1089;&#1090;&#1080;&#1082;&#1080;" TargetMode="External"/><Relationship Id="rId26" Type="http://schemas.openxmlformats.org/officeDocument/2006/relationships/hyperlink" Target="https://library.mededtech.ru/rest/documents/KP265_24/#paragraph_0tet5s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265_24/#paragraph_3i7i2u" TargetMode="External"/><Relationship Id="rId29" Type="http://schemas.openxmlformats.org/officeDocument/2006/relationships/hyperlink" Target="https://library.mededtech.ru/rest/documents/KP265_24/#paragraph_v53tnj" TargetMode="External"/><Relationship Id="rId30" Type="http://schemas.openxmlformats.org/officeDocument/2006/relationships/hyperlink" Target="https://library.mededtech.ru/rest/documents/KP265_24/#list_item_5ng14i" TargetMode="External"/><Relationship Id="rId31" Type="http://schemas.openxmlformats.org/officeDocument/2006/relationships/hyperlink" Target="https://library.mededtech.ru/rest/documents/KP265_24/#paragraph_c0joou" TargetMode="External"/><Relationship Id="rId32" Type="http://schemas.openxmlformats.org/officeDocument/2006/relationships/image" Target="media/image8.png"/><Relationship Id="rId33" Type="http://schemas.openxmlformats.org/officeDocument/2006/relationships/hyperlink" Target="https://library.mededtech.ru/rest/documents/KP265_24/#list_item_7clcq9" TargetMode="External"/><Relationship Id="rId34" Type="http://schemas.openxmlformats.org/officeDocument/2006/relationships/image" Target="media/image9.png"/><Relationship Id="rId35" Type="http://schemas.openxmlformats.org/officeDocument/2006/relationships/hyperlink" Target="https://library.mededtech.ru/rest/documents/KP265_24/#list_item_fetvr4" TargetMode="External"/><Relationship Id="rId36" Type="http://schemas.openxmlformats.org/officeDocument/2006/relationships/hyperlink" Target="https://library.mededtech.ru/rest/documents/KP265_24/#list_item_d25k5s" TargetMode="External"/><Relationship Id="rId37" Type="http://schemas.openxmlformats.org/officeDocument/2006/relationships/hyperlink" Target="https://library.mededtech.ru/rest/documents/KP265_24/#list_item_543si5" TargetMode="External"/><Relationship Id="rId38" Type="http://schemas.openxmlformats.org/officeDocument/2006/relationships/hyperlink" Target="https://library.mededtech.ru/rest/documents/KP265_24/#paragraph_97ol9e" TargetMode="External"/><Relationship Id="rId39" Type="http://schemas.openxmlformats.org/officeDocument/2006/relationships/hyperlink" Target="https://library.mededtech.ru/rest/documents/KP265_24/#list_item_7965dj" TargetMode="External"/><Relationship Id="rId40" Type="http://schemas.openxmlformats.org/officeDocument/2006/relationships/hyperlink" Target="https://library.mededtech.ru/rest/documents/KP265_24/#list_item_pg48uq" TargetMode="External"/><Relationship Id="rId41" Type="http://schemas.openxmlformats.org/officeDocument/2006/relationships/hyperlink" Target="https://library.mededtech.ru/rest/documents/celiaki2021/" TargetMode="External"/><Relationship Id="rId42" Type="http://schemas.openxmlformats.org/officeDocument/2006/relationships/hyperlink" Target="https://library.mededtech.ru/rest/documents/celiaki2021/#paragraph_91gn31" TargetMode="External"/><Relationship Id="rId43" Type="http://schemas.openxmlformats.org/officeDocument/2006/relationships/hyperlink" Target="https://library.mededtech.ru/rest/documents/celiaki2021/#paragraph_06fqca" TargetMode="External"/><Relationship Id="rId44" Type="http://schemas.openxmlformats.org/officeDocument/2006/relationships/hyperlink" Target="https://library.mededtech.ru/rest/documents/celiaki2021/#paragraph_o2nuf4" TargetMode="External"/><Relationship Id="rId45" Type="http://schemas.openxmlformats.org/officeDocument/2006/relationships/hyperlink" Target="https://library.mededtech.ru/rest/documents/celiaki2021/#paragraph_2mugmo" TargetMode="External"/><Relationship Id="rId46" Type="http://schemas.openxmlformats.org/officeDocument/2006/relationships/hyperlink" Target="https://library.mededtech.ru/rest/documents/celiaki2021/#paragraph_c5jvri" TargetMode="External"/><Relationship Id="rId47" Type="http://schemas.openxmlformats.org/officeDocument/2006/relationships/hyperlink" Target="https://library.mededtech.ru/rest/documents/celiaki2021/#paragraph_uh7n0u" TargetMode="External"/><Relationship Id="rId48" Type="http://schemas.openxmlformats.org/officeDocument/2006/relationships/hyperlink" Target="https://library.mededtech.ru/rest/documents/celiaki2021/#paragraph_dnqtk1" TargetMode="External"/><Relationship Id="rId49" Type="http://schemas.openxmlformats.org/officeDocument/2006/relationships/hyperlink" Target="https://library.mededtech.ru/rest/documents/celiaki2021/#paragraph_htor0s" TargetMode="External"/><Relationship Id="rId50" Type="http://schemas.openxmlformats.org/officeDocument/2006/relationships/hyperlink" Target="https://library.mededtech.ru/rest/documents/celiaki2021/#paragraph_dobgi2" TargetMode="External"/><Relationship Id="rId51" Type="http://schemas.openxmlformats.org/officeDocument/2006/relationships/hyperlink" Target="https://library.mededtech.ru/rest/documents/celiaki2021/#paragraph_8qiig4" TargetMode="External"/><Relationship Id="rId52" Type="http://schemas.openxmlformats.org/officeDocument/2006/relationships/hyperlink" Target="https://library.mededtech.ru/rest/documents/celiaki2021/#paragraph_86gsh1" TargetMode="External"/><Relationship Id="rId53" Type="http://schemas.openxmlformats.org/officeDocument/2006/relationships/hyperlink" Target="https://library.mededtech.ru/rest/documents/celiaki2021/#paragraph_ct57m6" TargetMode="External"/><Relationship Id="rId54" Type="http://schemas.openxmlformats.org/officeDocument/2006/relationships/hyperlink" Target="https://library.mededtech.ru/rest/documents/celiaki2021/#paragraph_564fi1" TargetMode="External"/><Relationship Id="rId55" Type="http://schemas.openxmlformats.org/officeDocument/2006/relationships/hyperlink" Target="https://library.mededtech.ru/rest/documents/celiaki2021/#list_item_bl3s6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